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A6" w:rsidRDefault="002458A6" w:rsidP="00F433E4">
      <w:pPr>
        <w:jc w:val="right"/>
      </w:pPr>
      <w:r w:rsidRPr="00C55A7F">
        <w:rPr>
          <w:noProof/>
          <w:lang w:eastAsia="en-GB"/>
        </w:rPr>
        <w:pict>
          <v:shape id="Picture 1" o:spid="_x0000_i1027" type="#_x0000_t75" style="width:153pt;height:38.25pt;visibility:visible">
            <v:imagedata r:id="rId7" o:title=""/>
          </v:shape>
        </w:pict>
      </w:r>
    </w:p>
    <w:p w:rsidR="002458A6" w:rsidRDefault="002458A6" w:rsidP="00A620E4">
      <w:pPr>
        <w:jc w:val="center"/>
        <w:rPr>
          <w:b/>
          <w:sz w:val="28"/>
          <w:szCs w:val="28"/>
        </w:rPr>
      </w:pPr>
      <w:r w:rsidRPr="00F433E4">
        <w:rPr>
          <w:b/>
          <w:sz w:val="28"/>
          <w:szCs w:val="28"/>
        </w:rPr>
        <w:t>Healthwatch Rutland ‘Board on the Road’</w:t>
      </w:r>
      <w:r>
        <w:rPr>
          <w:b/>
          <w:sz w:val="28"/>
          <w:szCs w:val="28"/>
        </w:rPr>
        <w:t xml:space="preserve"> and ‘At the Library’</w:t>
      </w:r>
    </w:p>
    <w:p w:rsidR="002458A6" w:rsidRDefault="002458A6" w:rsidP="00A620E4">
      <w:pPr>
        <w:jc w:val="both"/>
        <w:rPr>
          <w:b/>
        </w:rPr>
      </w:pPr>
    </w:p>
    <w:p w:rsidR="002458A6" w:rsidRPr="00A620E4" w:rsidRDefault="002458A6" w:rsidP="00A620E4">
      <w:pPr>
        <w:jc w:val="both"/>
        <w:rPr>
          <w:b/>
        </w:rPr>
      </w:pPr>
      <w:r>
        <w:rPr>
          <w:b/>
        </w:rPr>
        <w:t>1.</w:t>
      </w:r>
      <w:r>
        <w:rPr>
          <w:b/>
        </w:rPr>
        <w:tab/>
      </w:r>
      <w:r w:rsidRPr="00A620E4">
        <w:rPr>
          <w:b/>
        </w:rPr>
        <w:t>Rationale and Timetable</w:t>
      </w:r>
    </w:p>
    <w:p w:rsidR="002458A6" w:rsidRPr="0024246B" w:rsidRDefault="002458A6" w:rsidP="00F433E4">
      <w:pPr>
        <w:spacing w:line="360" w:lineRule="auto"/>
        <w:jc w:val="both"/>
      </w:pPr>
      <w:r>
        <w:t>1.0</w:t>
      </w:r>
      <w:r>
        <w:tab/>
      </w:r>
      <w:r w:rsidRPr="0024246B">
        <w:t xml:space="preserve">Established under the Health and Social Care Act 2012, Healthwatch Rutland (HWR) is the Health and Social Care ‘Watchdog’ for the people of Rutland.  It is operated through a ‘not-for-profit’ organisation known as ‘Healthwatch Rutland Community Interest Company’ (HWRCIC) </w:t>
      </w:r>
    </w:p>
    <w:p w:rsidR="002458A6" w:rsidRPr="0024246B" w:rsidRDefault="002458A6" w:rsidP="00F433E4">
      <w:pPr>
        <w:spacing w:line="360" w:lineRule="auto"/>
        <w:jc w:val="both"/>
      </w:pPr>
      <w:r>
        <w:t>1.1</w:t>
      </w:r>
      <w:r>
        <w:tab/>
      </w:r>
      <w:r w:rsidRPr="0024246B">
        <w:t xml:space="preserve">Under the Act HWR has a statutory seat on the Health &amp; Well-Being Board at Rutland County Council.  </w:t>
      </w:r>
    </w:p>
    <w:p w:rsidR="002458A6" w:rsidRPr="0024246B" w:rsidRDefault="002458A6" w:rsidP="0024246B">
      <w:pPr>
        <w:spacing w:line="360" w:lineRule="auto"/>
        <w:jc w:val="both"/>
        <w:rPr>
          <w:b/>
        </w:rPr>
      </w:pPr>
      <w:r>
        <w:rPr>
          <w:rFonts w:cs="Arial"/>
          <w:color w:val="000000"/>
          <w:lang/>
        </w:rPr>
        <w:t>1.2</w:t>
      </w:r>
      <w:r>
        <w:rPr>
          <w:rFonts w:cs="Arial"/>
          <w:color w:val="000000"/>
          <w:lang/>
        </w:rPr>
        <w:tab/>
      </w:r>
      <w:r w:rsidRPr="0024246B">
        <w:rPr>
          <w:rFonts w:cs="Arial"/>
          <w:color w:val="000000"/>
          <w:lang/>
        </w:rPr>
        <w:t xml:space="preserve">Health and wellbeing boards </w:t>
      </w:r>
      <w:r>
        <w:rPr>
          <w:rFonts w:cs="Arial"/>
          <w:color w:val="000000"/>
          <w:lang/>
        </w:rPr>
        <w:t xml:space="preserve">act </w:t>
      </w:r>
      <w:r w:rsidRPr="0024246B">
        <w:rPr>
          <w:rFonts w:cs="Arial"/>
          <w:color w:val="000000"/>
          <w:lang/>
        </w:rPr>
        <w:t xml:space="preserve">as a forum where key leaders from the health and care system work together to improve the health and wellbeing of their local population and reduce health inequalities.  </w:t>
      </w:r>
    </w:p>
    <w:p w:rsidR="002458A6" w:rsidRDefault="002458A6" w:rsidP="0024246B">
      <w:pPr>
        <w:spacing w:line="360" w:lineRule="auto"/>
        <w:jc w:val="both"/>
        <w:rPr>
          <w:rFonts w:cs="Arial"/>
          <w:color w:val="333333"/>
          <w:lang w:val="en-US" w:eastAsia="en-GB"/>
        </w:rPr>
      </w:pPr>
      <w:r>
        <w:t>1.3</w:t>
      </w:r>
      <w:r>
        <w:tab/>
        <w:t>The Act mandates that k</w:t>
      </w:r>
      <w:r w:rsidRPr="0024246B">
        <w:t xml:space="preserve">ey leaders </w:t>
      </w:r>
      <w:r>
        <w:t xml:space="preserve">will </w:t>
      </w:r>
      <w:r w:rsidRPr="0024246B">
        <w:t>include, as a minimum</w:t>
      </w:r>
      <w:r>
        <w:rPr>
          <w:b/>
        </w:rPr>
        <w:t xml:space="preserve">, </w:t>
      </w:r>
      <w:r w:rsidRPr="0024246B">
        <w:rPr>
          <w:rFonts w:cs="Arial"/>
          <w:color w:val="333333"/>
          <w:lang w:val="en-US" w:eastAsia="en-GB"/>
        </w:rPr>
        <w:t>one local elected representative</w:t>
      </w:r>
      <w:r>
        <w:rPr>
          <w:b/>
        </w:rPr>
        <w:t>,</w:t>
      </w:r>
      <w:r w:rsidRPr="0024246B">
        <w:rPr>
          <w:rFonts w:cs="Arial"/>
          <w:color w:val="333333"/>
          <w:lang w:val="en-US" w:eastAsia="en-GB"/>
        </w:rPr>
        <w:t xml:space="preserve"> a representative o</w:t>
      </w:r>
      <w:r>
        <w:rPr>
          <w:rFonts w:cs="Arial"/>
          <w:color w:val="333333"/>
          <w:lang w:val="en-US" w:eastAsia="en-GB"/>
        </w:rPr>
        <w:t>f local Healthwatch organisation,</w:t>
      </w:r>
      <w:r w:rsidRPr="0024246B">
        <w:rPr>
          <w:rFonts w:cs="Arial"/>
          <w:color w:val="333333"/>
          <w:lang w:val="en-US" w:eastAsia="en-GB"/>
        </w:rPr>
        <w:t xml:space="preserve"> a representative of each lo</w:t>
      </w:r>
      <w:r>
        <w:rPr>
          <w:rFonts w:cs="Arial"/>
          <w:color w:val="333333"/>
          <w:lang w:val="en-US" w:eastAsia="en-GB"/>
        </w:rPr>
        <w:t xml:space="preserve">cal clinical commissioning group, </w:t>
      </w:r>
      <w:r w:rsidRPr="0024246B">
        <w:rPr>
          <w:rFonts w:cs="Arial"/>
          <w:color w:val="333333"/>
          <w:lang w:val="en-US" w:eastAsia="en-GB"/>
        </w:rPr>
        <w:t>the local authority director for adult social services</w:t>
      </w:r>
      <w:r>
        <w:rPr>
          <w:b/>
        </w:rPr>
        <w:t xml:space="preserve">, </w:t>
      </w:r>
      <w:r w:rsidRPr="0024246B">
        <w:rPr>
          <w:rFonts w:cs="Arial"/>
          <w:color w:val="333333"/>
          <w:lang w:val="en-US" w:eastAsia="en-GB"/>
        </w:rPr>
        <w:t>the local authority director for children’s services</w:t>
      </w:r>
      <w:r>
        <w:rPr>
          <w:b/>
        </w:rPr>
        <w:t xml:space="preserve">, </w:t>
      </w:r>
      <w:r w:rsidRPr="0024246B">
        <w:rPr>
          <w:rFonts w:cs="Arial"/>
          <w:color w:val="333333"/>
          <w:lang w:val="en-US" w:eastAsia="en-GB"/>
        </w:rPr>
        <w:t>the director of public health for the local authority</w:t>
      </w:r>
      <w:r>
        <w:rPr>
          <w:rFonts w:cs="Arial"/>
          <w:color w:val="333333"/>
          <w:lang w:val="en-US" w:eastAsia="en-GB"/>
        </w:rPr>
        <w:t>.</w:t>
      </w:r>
    </w:p>
    <w:p w:rsidR="002458A6" w:rsidRDefault="002458A6" w:rsidP="0024246B">
      <w:pPr>
        <w:spacing w:line="360" w:lineRule="auto"/>
        <w:jc w:val="both"/>
        <w:rPr>
          <w:rFonts w:cs="Arial"/>
          <w:color w:val="333333"/>
          <w:lang w:val="en-US" w:eastAsia="en-GB"/>
        </w:rPr>
      </w:pPr>
      <w:r>
        <w:rPr>
          <w:rFonts w:cs="Arial"/>
          <w:color w:val="333333"/>
          <w:lang w:val="en-US" w:eastAsia="en-GB"/>
        </w:rPr>
        <w:t>1.4</w:t>
      </w:r>
      <w:r>
        <w:rPr>
          <w:rFonts w:cs="Arial"/>
          <w:color w:val="333333"/>
          <w:lang w:val="en-US" w:eastAsia="en-GB"/>
        </w:rPr>
        <w:tab/>
        <w:t>In order to accurately represent the concerns of the people of Rutland, the HWRCIC Board Members are keen to be accessible across Rutland and have decided to undertake a series of events in different locations, days and times up until November.  These are shown in the table below:-</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856"/>
        <w:gridCol w:w="2398"/>
        <w:gridCol w:w="2200"/>
      </w:tblGrid>
      <w:tr w:rsidR="002458A6" w:rsidRPr="00646724" w:rsidTr="00646724">
        <w:tc>
          <w:tcPr>
            <w:tcW w:w="562"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Qtr</w:t>
            </w:r>
          </w:p>
        </w:tc>
        <w:tc>
          <w:tcPr>
            <w:tcW w:w="3856"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Date</w:t>
            </w:r>
          </w:p>
        </w:tc>
        <w:tc>
          <w:tcPr>
            <w:tcW w:w="2398"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Venue</w:t>
            </w:r>
          </w:p>
        </w:tc>
        <w:tc>
          <w:tcPr>
            <w:tcW w:w="2200"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Time</w:t>
            </w:r>
          </w:p>
        </w:tc>
      </w:tr>
      <w:tr w:rsidR="002458A6" w:rsidRPr="00646724" w:rsidTr="00646724">
        <w:tc>
          <w:tcPr>
            <w:tcW w:w="562"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1</w:t>
            </w:r>
          </w:p>
        </w:tc>
        <w:tc>
          <w:tcPr>
            <w:tcW w:w="3856"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Saturday April 25th</w:t>
            </w:r>
          </w:p>
        </w:tc>
        <w:tc>
          <w:tcPr>
            <w:tcW w:w="2398"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Ketton Library</w:t>
            </w:r>
          </w:p>
        </w:tc>
        <w:tc>
          <w:tcPr>
            <w:tcW w:w="2200"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 xml:space="preserve">9.30 am – 11.30 am </w:t>
            </w:r>
          </w:p>
        </w:tc>
      </w:tr>
      <w:tr w:rsidR="002458A6" w:rsidRPr="00646724" w:rsidTr="00646724">
        <w:tc>
          <w:tcPr>
            <w:tcW w:w="562"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1</w:t>
            </w:r>
          </w:p>
        </w:tc>
        <w:tc>
          <w:tcPr>
            <w:tcW w:w="3856"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Friday May 15</w:t>
            </w:r>
            <w:r w:rsidRPr="00646724">
              <w:rPr>
                <w:rFonts w:cs="Arial"/>
                <w:color w:val="333333"/>
                <w:vertAlign w:val="superscript"/>
                <w:lang w:val="en-US" w:eastAsia="en-GB"/>
              </w:rPr>
              <w:t>th</w:t>
            </w:r>
            <w:r w:rsidRPr="00646724">
              <w:rPr>
                <w:rFonts w:cs="Arial"/>
                <w:color w:val="333333"/>
                <w:lang w:val="en-US" w:eastAsia="en-GB"/>
              </w:rPr>
              <w:t xml:space="preserve"> </w:t>
            </w:r>
          </w:p>
        </w:tc>
        <w:tc>
          <w:tcPr>
            <w:tcW w:w="2398"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The Gover Centre</w:t>
            </w:r>
          </w:p>
        </w:tc>
        <w:tc>
          <w:tcPr>
            <w:tcW w:w="2200"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1.30 pm – 4 pm</w:t>
            </w:r>
          </w:p>
        </w:tc>
      </w:tr>
      <w:tr w:rsidR="002458A6" w:rsidRPr="00646724" w:rsidTr="00646724">
        <w:tc>
          <w:tcPr>
            <w:tcW w:w="562"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1</w:t>
            </w:r>
          </w:p>
        </w:tc>
        <w:tc>
          <w:tcPr>
            <w:tcW w:w="3856"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Wednesday June 17</w:t>
            </w:r>
            <w:r w:rsidRPr="00646724">
              <w:rPr>
                <w:rFonts w:cs="Arial"/>
                <w:color w:val="333333"/>
                <w:vertAlign w:val="superscript"/>
                <w:lang w:val="en-US" w:eastAsia="en-GB"/>
              </w:rPr>
              <w:t>th</w:t>
            </w:r>
            <w:r w:rsidRPr="00646724">
              <w:rPr>
                <w:rFonts w:cs="Arial"/>
                <w:color w:val="333333"/>
                <w:lang w:val="en-US" w:eastAsia="en-GB"/>
              </w:rPr>
              <w:t xml:space="preserve"> </w:t>
            </w:r>
          </w:p>
        </w:tc>
        <w:tc>
          <w:tcPr>
            <w:tcW w:w="2398"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Empingham Audit Hall</w:t>
            </w:r>
          </w:p>
        </w:tc>
        <w:tc>
          <w:tcPr>
            <w:tcW w:w="2200"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7.30 pm – 9.30 pm</w:t>
            </w:r>
          </w:p>
        </w:tc>
      </w:tr>
      <w:tr w:rsidR="002458A6" w:rsidRPr="00646724" w:rsidTr="00646724">
        <w:tc>
          <w:tcPr>
            <w:tcW w:w="562"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1</w:t>
            </w:r>
          </w:p>
        </w:tc>
        <w:tc>
          <w:tcPr>
            <w:tcW w:w="3856"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Saturday June 27</w:t>
            </w:r>
            <w:r w:rsidRPr="00646724">
              <w:rPr>
                <w:rFonts w:cs="Arial"/>
                <w:color w:val="333333"/>
                <w:vertAlign w:val="superscript"/>
                <w:lang w:val="en-US" w:eastAsia="en-GB"/>
              </w:rPr>
              <w:t>th</w:t>
            </w:r>
            <w:r w:rsidRPr="00646724">
              <w:rPr>
                <w:rFonts w:cs="Arial"/>
                <w:color w:val="333333"/>
                <w:lang w:val="en-US" w:eastAsia="en-GB"/>
              </w:rPr>
              <w:t xml:space="preserve"> </w:t>
            </w:r>
          </w:p>
        </w:tc>
        <w:tc>
          <w:tcPr>
            <w:tcW w:w="2398"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Ryhall Library</w:t>
            </w:r>
          </w:p>
        </w:tc>
        <w:tc>
          <w:tcPr>
            <w:tcW w:w="2200"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10.30 am – 12.30 pm</w:t>
            </w:r>
          </w:p>
        </w:tc>
      </w:tr>
      <w:tr w:rsidR="002458A6" w:rsidRPr="00646724" w:rsidTr="00646724">
        <w:tc>
          <w:tcPr>
            <w:tcW w:w="562"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2</w:t>
            </w:r>
          </w:p>
        </w:tc>
        <w:tc>
          <w:tcPr>
            <w:tcW w:w="3856"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Friday July 17</w:t>
            </w:r>
            <w:r w:rsidRPr="00646724">
              <w:rPr>
                <w:rFonts w:cs="Arial"/>
                <w:color w:val="333333"/>
                <w:vertAlign w:val="superscript"/>
                <w:lang w:val="en-US" w:eastAsia="en-GB"/>
              </w:rPr>
              <w:t>th</w:t>
            </w:r>
            <w:r w:rsidRPr="00646724">
              <w:rPr>
                <w:rFonts w:cs="Arial"/>
                <w:color w:val="333333"/>
                <w:lang w:val="en-US" w:eastAsia="en-GB"/>
              </w:rPr>
              <w:t xml:space="preserve"> </w:t>
            </w:r>
          </w:p>
        </w:tc>
        <w:tc>
          <w:tcPr>
            <w:tcW w:w="2398"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The Gover Centre</w:t>
            </w:r>
          </w:p>
        </w:tc>
        <w:tc>
          <w:tcPr>
            <w:tcW w:w="2200"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1.30 pm – 4 pm</w:t>
            </w:r>
          </w:p>
        </w:tc>
      </w:tr>
      <w:tr w:rsidR="002458A6" w:rsidRPr="00646724" w:rsidTr="00646724">
        <w:tc>
          <w:tcPr>
            <w:tcW w:w="562"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2</w:t>
            </w:r>
          </w:p>
        </w:tc>
        <w:tc>
          <w:tcPr>
            <w:tcW w:w="3856"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Wednesday August 19</w:t>
            </w:r>
            <w:r w:rsidRPr="00646724">
              <w:rPr>
                <w:rFonts w:cs="Arial"/>
                <w:color w:val="333333"/>
                <w:vertAlign w:val="superscript"/>
                <w:lang w:val="en-US" w:eastAsia="en-GB"/>
              </w:rPr>
              <w:t>th</w:t>
            </w:r>
            <w:r w:rsidRPr="00646724">
              <w:rPr>
                <w:rFonts w:cs="Arial"/>
                <w:color w:val="333333"/>
                <w:lang w:val="en-US" w:eastAsia="en-GB"/>
              </w:rPr>
              <w:t xml:space="preserve"> </w:t>
            </w:r>
          </w:p>
        </w:tc>
        <w:tc>
          <w:tcPr>
            <w:tcW w:w="2398"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Lyddington Village Hall</w:t>
            </w:r>
          </w:p>
        </w:tc>
        <w:tc>
          <w:tcPr>
            <w:tcW w:w="2200"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6.30 pm – 9 pm</w:t>
            </w:r>
          </w:p>
        </w:tc>
      </w:tr>
      <w:tr w:rsidR="002458A6" w:rsidRPr="00646724" w:rsidTr="00646724">
        <w:tc>
          <w:tcPr>
            <w:tcW w:w="562"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2</w:t>
            </w:r>
          </w:p>
        </w:tc>
        <w:tc>
          <w:tcPr>
            <w:tcW w:w="3856"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Saturday August 22</w:t>
            </w:r>
            <w:r w:rsidRPr="00646724">
              <w:rPr>
                <w:rFonts w:cs="Arial"/>
                <w:color w:val="333333"/>
                <w:vertAlign w:val="superscript"/>
                <w:lang w:val="en-US" w:eastAsia="en-GB"/>
              </w:rPr>
              <w:t>nd</w:t>
            </w:r>
          </w:p>
        </w:tc>
        <w:tc>
          <w:tcPr>
            <w:tcW w:w="2398"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Oakham Library</w:t>
            </w:r>
          </w:p>
        </w:tc>
        <w:tc>
          <w:tcPr>
            <w:tcW w:w="2200"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10 am – 12 noon</w:t>
            </w:r>
          </w:p>
        </w:tc>
      </w:tr>
      <w:tr w:rsidR="002458A6" w:rsidRPr="00646724" w:rsidTr="00646724">
        <w:tc>
          <w:tcPr>
            <w:tcW w:w="562"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2</w:t>
            </w:r>
          </w:p>
        </w:tc>
        <w:tc>
          <w:tcPr>
            <w:tcW w:w="3856"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Friday September 18</w:t>
            </w:r>
            <w:r w:rsidRPr="00646724">
              <w:rPr>
                <w:rFonts w:cs="Arial"/>
                <w:color w:val="333333"/>
                <w:vertAlign w:val="superscript"/>
                <w:lang w:val="en-US" w:eastAsia="en-GB"/>
              </w:rPr>
              <w:t xml:space="preserve">th </w:t>
            </w:r>
            <w:r w:rsidRPr="00646724">
              <w:rPr>
                <w:rFonts w:cs="Arial"/>
                <w:color w:val="333333"/>
                <w:lang w:val="en-US" w:eastAsia="en-GB"/>
              </w:rPr>
              <w:t xml:space="preserve">  AGM</w:t>
            </w:r>
          </w:p>
        </w:tc>
        <w:tc>
          <w:tcPr>
            <w:tcW w:w="2398"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The Gover Centre</w:t>
            </w:r>
          </w:p>
        </w:tc>
        <w:tc>
          <w:tcPr>
            <w:tcW w:w="2200"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1.30 pm – 4 pm</w:t>
            </w:r>
          </w:p>
        </w:tc>
      </w:tr>
      <w:tr w:rsidR="002458A6" w:rsidRPr="00646724" w:rsidTr="00646724">
        <w:tc>
          <w:tcPr>
            <w:tcW w:w="562"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3</w:t>
            </w:r>
          </w:p>
        </w:tc>
        <w:tc>
          <w:tcPr>
            <w:tcW w:w="3856"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Thursday October 15</w:t>
            </w:r>
            <w:r w:rsidRPr="00646724">
              <w:rPr>
                <w:rFonts w:cs="Arial"/>
                <w:color w:val="333333"/>
                <w:vertAlign w:val="superscript"/>
                <w:lang w:val="en-US" w:eastAsia="en-GB"/>
              </w:rPr>
              <w:t>th</w:t>
            </w:r>
            <w:r w:rsidRPr="00646724">
              <w:rPr>
                <w:rFonts w:cs="Arial"/>
                <w:color w:val="333333"/>
                <w:lang w:val="en-US" w:eastAsia="en-GB"/>
              </w:rPr>
              <w:t xml:space="preserve"> </w:t>
            </w:r>
          </w:p>
        </w:tc>
        <w:tc>
          <w:tcPr>
            <w:tcW w:w="2398"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Ryhall Village Hall</w:t>
            </w:r>
          </w:p>
        </w:tc>
        <w:tc>
          <w:tcPr>
            <w:tcW w:w="2200"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7.30 pm – 9.30 pm</w:t>
            </w:r>
          </w:p>
        </w:tc>
      </w:tr>
      <w:tr w:rsidR="002458A6" w:rsidRPr="00646724" w:rsidTr="00646724">
        <w:tc>
          <w:tcPr>
            <w:tcW w:w="562" w:type="dxa"/>
          </w:tcPr>
          <w:p w:rsidR="002458A6" w:rsidRPr="00646724" w:rsidRDefault="002458A6" w:rsidP="00646724">
            <w:pPr>
              <w:spacing w:after="0" w:line="360" w:lineRule="auto"/>
              <w:jc w:val="center"/>
              <w:rPr>
                <w:rFonts w:cs="Arial"/>
                <w:color w:val="333333"/>
                <w:lang w:val="en-US" w:eastAsia="en-GB"/>
              </w:rPr>
            </w:pPr>
            <w:r w:rsidRPr="00646724">
              <w:rPr>
                <w:rFonts w:cs="Arial"/>
                <w:color w:val="333333"/>
                <w:lang w:val="en-US" w:eastAsia="en-GB"/>
              </w:rPr>
              <w:t>3</w:t>
            </w:r>
          </w:p>
        </w:tc>
        <w:tc>
          <w:tcPr>
            <w:tcW w:w="3856"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Friday November 20</w:t>
            </w:r>
            <w:r w:rsidRPr="00646724">
              <w:rPr>
                <w:rFonts w:cs="Arial"/>
                <w:color w:val="333333"/>
                <w:vertAlign w:val="superscript"/>
                <w:lang w:val="en-US" w:eastAsia="en-GB"/>
              </w:rPr>
              <w:t>th</w:t>
            </w:r>
            <w:r w:rsidRPr="00646724">
              <w:rPr>
                <w:rFonts w:cs="Arial"/>
                <w:color w:val="333333"/>
                <w:lang w:val="en-US" w:eastAsia="en-GB"/>
              </w:rPr>
              <w:t xml:space="preserve"> </w:t>
            </w:r>
          </w:p>
        </w:tc>
        <w:tc>
          <w:tcPr>
            <w:tcW w:w="2398"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The Gover Centre</w:t>
            </w:r>
          </w:p>
        </w:tc>
        <w:tc>
          <w:tcPr>
            <w:tcW w:w="2200" w:type="dxa"/>
          </w:tcPr>
          <w:p w:rsidR="002458A6" w:rsidRPr="00646724" w:rsidRDefault="002458A6" w:rsidP="00646724">
            <w:pPr>
              <w:spacing w:after="0" w:line="360" w:lineRule="auto"/>
              <w:jc w:val="both"/>
              <w:rPr>
                <w:rFonts w:cs="Arial"/>
                <w:color w:val="333333"/>
                <w:lang w:val="en-US" w:eastAsia="en-GB"/>
              </w:rPr>
            </w:pPr>
            <w:r w:rsidRPr="00646724">
              <w:rPr>
                <w:rFonts w:cs="Arial"/>
                <w:color w:val="333333"/>
                <w:lang w:val="en-US" w:eastAsia="en-GB"/>
              </w:rPr>
              <w:t>1.30 pm – 4 pm</w:t>
            </w:r>
          </w:p>
        </w:tc>
      </w:tr>
    </w:tbl>
    <w:p w:rsidR="002458A6" w:rsidRPr="00CB1513" w:rsidRDefault="002458A6" w:rsidP="00F433E4">
      <w:pPr>
        <w:jc w:val="both"/>
      </w:pPr>
      <w:r w:rsidRPr="00CB1513">
        <w:t>1.5</w:t>
      </w:r>
      <w:r w:rsidRPr="00CB1513">
        <w:tab/>
      </w:r>
      <w:r>
        <w:t>The events have not been arranged beyond quarter 3 at this point in order to gauge impact, effectiveness and therefore value for money before committing further scarce resources</w:t>
      </w:r>
    </w:p>
    <w:p w:rsidR="002458A6" w:rsidRDefault="002458A6" w:rsidP="00F433E4">
      <w:pPr>
        <w:jc w:val="both"/>
        <w:rPr>
          <w:b/>
        </w:rPr>
      </w:pPr>
      <w:r>
        <w:rPr>
          <w:b/>
        </w:rPr>
        <w:t>2.0</w:t>
      </w:r>
      <w:r>
        <w:rPr>
          <w:b/>
        </w:rPr>
        <w:tab/>
        <w:t>Publicity</w:t>
      </w:r>
    </w:p>
    <w:p w:rsidR="002458A6" w:rsidRPr="00A620E4" w:rsidRDefault="002458A6" w:rsidP="00F433E4">
      <w:pPr>
        <w:jc w:val="both"/>
      </w:pPr>
      <w:r w:rsidRPr="00A620E4">
        <w:t>2.1</w:t>
      </w:r>
      <w:r>
        <w:tab/>
        <w:t>The events are being widely publicised across a variety of channels for example social media, local radio, parish magazines, local newspaper, bulletins, posters, and also by word of mouth</w:t>
      </w:r>
    </w:p>
    <w:p w:rsidR="002458A6" w:rsidRDefault="002458A6" w:rsidP="00F433E4">
      <w:pPr>
        <w:jc w:val="both"/>
        <w:rPr>
          <w:b/>
        </w:rPr>
      </w:pPr>
      <w:r>
        <w:rPr>
          <w:b/>
        </w:rPr>
        <w:t>3.0</w:t>
      </w:r>
      <w:r>
        <w:rPr>
          <w:b/>
        </w:rPr>
        <w:tab/>
        <w:t>Cost</w:t>
      </w:r>
    </w:p>
    <w:p w:rsidR="002458A6" w:rsidRPr="0043425E" w:rsidRDefault="002458A6" w:rsidP="00F433E4">
      <w:pPr>
        <w:jc w:val="both"/>
      </w:pPr>
      <w:r w:rsidRPr="004B2260">
        <w:t xml:space="preserve">3.1 </w:t>
      </w:r>
      <w:r w:rsidRPr="004B2260">
        <w:tab/>
      </w:r>
      <w:r w:rsidRPr="0043425E">
        <w:t xml:space="preserve">The total budget for these events up to Nov is estimated to be </w:t>
      </w:r>
      <w:r w:rsidRPr="0043425E">
        <w:rPr>
          <w:color w:val="FF0000"/>
        </w:rPr>
        <w:t>£1,303</w:t>
      </w:r>
    </w:p>
    <w:p w:rsidR="002458A6" w:rsidRPr="004B2260" w:rsidRDefault="002458A6" w:rsidP="00D401C4">
      <w:pPr>
        <w:jc w:val="both"/>
      </w:pPr>
      <w:r w:rsidRPr="0043425E">
        <w:t>3.2</w:t>
      </w:r>
      <w:r>
        <w:tab/>
        <w:t xml:space="preserve">Please note Annual General Meeting costs, other than premises hire, have </w:t>
      </w:r>
      <w:r w:rsidRPr="00D401C4">
        <w:rPr>
          <w:u w:val="single"/>
        </w:rPr>
        <w:t>NOT</w:t>
      </w:r>
      <w:r>
        <w:t xml:space="preserve"> been included within this calculation</w:t>
      </w:r>
    </w:p>
    <w:p w:rsidR="002458A6" w:rsidRDefault="002458A6" w:rsidP="00F433E4">
      <w:pPr>
        <w:jc w:val="both"/>
      </w:pPr>
      <w:r>
        <w:t>3.3</w:t>
      </w:r>
      <w:r>
        <w:tab/>
        <w:t>The table below shows how this total will be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2"/>
        <w:gridCol w:w="2078"/>
        <w:gridCol w:w="2078"/>
        <w:gridCol w:w="2078"/>
      </w:tblGrid>
      <w:tr w:rsidR="002458A6" w:rsidRPr="00646724" w:rsidTr="00646724">
        <w:tc>
          <w:tcPr>
            <w:tcW w:w="2782" w:type="dxa"/>
          </w:tcPr>
          <w:p w:rsidR="002458A6" w:rsidRPr="00646724" w:rsidRDefault="002458A6" w:rsidP="00646724">
            <w:pPr>
              <w:spacing w:after="0" w:line="240" w:lineRule="auto"/>
              <w:jc w:val="center"/>
            </w:pPr>
            <w:r w:rsidRPr="00646724">
              <w:t>Item</w:t>
            </w:r>
          </w:p>
        </w:tc>
        <w:tc>
          <w:tcPr>
            <w:tcW w:w="2078" w:type="dxa"/>
          </w:tcPr>
          <w:p w:rsidR="002458A6" w:rsidRPr="00646724" w:rsidRDefault="002458A6" w:rsidP="00646724">
            <w:pPr>
              <w:spacing w:after="0" w:line="240" w:lineRule="auto"/>
              <w:jc w:val="center"/>
            </w:pPr>
            <w:r w:rsidRPr="00646724">
              <w:t xml:space="preserve">Quarter 1       £ </w:t>
            </w:r>
          </w:p>
        </w:tc>
        <w:tc>
          <w:tcPr>
            <w:tcW w:w="2078" w:type="dxa"/>
          </w:tcPr>
          <w:p w:rsidR="002458A6" w:rsidRPr="00646724" w:rsidRDefault="002458A6" w:rsidP="00646724">
            <w:pPr>
              <w:spacing w:after="0" w:line="240" w:lineRule="auto"/>
              <w:jc w:val="center"/>
            </w:pPr>
            <w:r w:rsidRPr="00646724">
              <w:t>Quarter 2         £</w:t>
            </w:r>
          </w:p>
        </w:tc>
        <w:tc>
          <w:tcPr>
            <w:tcW w:w="2078" w:type="dxa"/>
          </w:tcPr>
          <w:p w:rsidR="002458A6" w:rsidRPr="00646724" w:rsidRDefault="002458A6" w:rsidP="00646724">
            <w:pPr>
              <w:spacing w:after="0" w:line="240" w:lineRule="auto"/>
              <w:jc w:val="center"/>
            </w:pPr>
            <w:r w:rsidRPr="00646724">
              <w:t>Quarter 3          £</w:t>
            </w:r>
          </w:p>
        </w:tc>
      </w:tr>
      <w:tr w:rsidR="002458A6" w:rsidRPr="00646724" w:rsidTr="00646724">
        <w:tc>
          <w:tcPr>
            <w:tcW w:w="2782" w:type="dxa"/>
          </w:tcPr>
          <w:p w:rsidR="002458A6" w:rsidRPr="00646724" w:rsidRDefault="002458A6" w:rsidP="00646724">
            <w:pPr>
              <w:spacing w:after="0" w:line="240" w:lineRule="auto"/>
              <w:jc w:val="both"/>
            </w:pPr>
            <w:r w:rsidRPr="00646724">
              <w:t>Premises Hire</w:t>
            </w:r>
          </w:p>
        </w:tc>
        <w:tc>
          <w:tcPr>
            <w:tcW w:w="2078" w:type="dxa"/>
          </w:tcPr>
          <w:p w:rsidR="002458A6" w:rsidRPr="00646724" w:rsidRDefault="002458A6" w:rsidP="00646724">
            <w:pPr>
              <w:spacing w:after="0" w:line="240" w:lineRule="auto"/>
              <w:jc w:val="right"/>
            </w:pPr>
            <w:r w:rsidRPr="00646724">
              <w:t>90</w:t>
            </w:r>
          </w:p>
        </w:tc>
        <w:tc>
          <w:tcPr>
            <w:tcW w:w="2078" w:type="dxa"/>
          </w:tcPr>
          <w:p w:rsidR="002458A6" w:rsidRPr="00646724" w:rsidRDefault="002458A6" w:rsidP="00646724">
            <w:pPr>
              <w:spacing w:after="0" w:line="240" w:lineRule="auto"/>
              <w:jc w:val="right"/>
            </w:pPr>
            <w:r w:rsidRPr="00646724">
              <w:t>178</w:t>
            </w:r>
          </w:p>
        </w:tc>
        <w:tc>
          <w:tcPr>
            <w:tcW w:w="2078" w:type="dxa"/>
          </w:tcPr>
          <w:p w:rsidR="002458A6" w:rsidRPr="00646724" w:rsidRDefault="002458A6" w:rsidP="00646724">
            <w:pPr>
              <w:spacing w:after="0" w:line="240" w:lineRule="auto"/>
              <w:jc w:val="right"/>
            </w:pPr>
            <w:r w:rsidRPr="00646724">
              <w:t>95</w:t>
            </w:r>
          </w:p>
        </w:tc>
      </w:tr>
      <w:tr w:rsidR="002458A6" w:rsidRPr="00646724" w:rsidTr="00646724">
        <w:tc>
          <w:tcPr>
            <w:tcW w:w="2782" w:type="dxa"/>
          </w:tcPr>
          <w:p w:rsidR="002458A6" w:rsidRPr="00646724" w:rsidRDefault="002458A6" w:rsidP="00646724">
            <w:pPr>
              <w:spacing w:after="0" w:line="240" w:lineRule="auto"/>
              <w:jc w:val="both"/>
            </w:pPr>
            <w:r w:rsidRPr="00646724">
              <w:t>Refreshments</w:t>
            </w:r>
          </w:p>
        </w:tc>
        <w:tc>
          <w:tcPr>
            <w:tcW w:w="2078" w:type="dxa"/>
          </w:tcPr>
          <w:p w:rsidR="002458A6" w:rsidRPr="00646724" w:rsidRDefault="002458A6" w:rsidP="00646724">
            <w:pPr>
              <w:spacing w:after="0" w:line="240" w:lineRule="auto"/>
              <w:jc w:val="right"/>
            </w:pPr>
            <w:r w:rsidRPr="00646724">
              <w:t>20</w:t>
            </w:r>
          </w:p>
        </w:tc>
        <w:tc>
          <w:tcPr>
            <w:tcW w:w="2078" w:type="dxa"/>
          </w:tcPr>
          <w:p w:rsidR="002458A6" w:rsidRPr="00646724" w:rsidRDefault="002458A6" w:rsidP="00646724">
            <w:pPr>
              <w:spacing w:after="0" w:line="240" w:lineRule="auto"/>
              <w:jc w:val="right"/>
            </w:pPr>
            <w:r w:rsidRPr="00646724">
              <w:t>30</w:t>
            </w:r>
          </w:p>
        </w:tc>
        <w:tc>
          <w:tcPr>
            <w:tcW w:w="2078" w:type="dxa"/>
          </w:tcPr>
          <w:p w:rsidR="002458A6" w:rsidRPr="00646724" w:rsidRDefault="002458A6" w:rsidP="00646724">
            <w:pPr>
              <w:spacing w:after="0" w:line="240" w:lineRule="auto"/>
              <w:jc w:val="right"/>
            </w:pPr>
            <w:r w:rsidRPr="00646724">
              <w:t>20</w:t>
            </w:r>
          </w:p>
        </w:tc>
      </w:tr>
      <w:tr w:rsidR="002458A6" w:rsidRPr="00646724" w:rsidTr="00646724">
        <w:tc>
          <w:tcPr>
            <w:tcW w:w="2782" w:type="dxa"/>
          </w:tcPr>
          <w:p w:rsidR="002458A6" w:rsidRPr="00646724" w:rsidRDefault="002458A6" w:rsidP="00646724">
            <w:pPr>
              <w:spacing w:after="0" w:line="240" w:lineRule="auto"/>
              <w:jc w:val="both"/>
            </w:pPr>
            <w:r w:rsidRPr="00646724">
              <w:t>Printing</w:t>
            </w:r>
          </w:p>
        </w:tc>
        <w:tc>
          <w:tcPr>
            <w:tcW w:w="2078" w:type="dxa"/>
          </w:tcPr>
          <w:p w:rsidR="002458A6" w:rsidRPr="00646724" w:rsidRDefault="002458A6" w:rsidP="00646724">
            <w:pPr>
              <w:spacing w:after="0" w:line="240" w:lineRule="auto"/>
              <w:jc w:val="right"/>
            </w:pPr>
            <w:r w:rsidRPr="00646724">
              <w:t>200</w:t>
            </w:r>
          </w:p>
        </w:tc>
        <w:tc>
          <w:tcPr>
            <w:tcW w:w="2078" w:type="dxa"/>
          </w:tcPr>
          <w:p w:rsidR="002458A6" w:rsidRPr="00646724" w:rsidRDefault="002458A6" w:rsidP="00646724">
            <w:pPr>
              <w:spacing w:after="0" w:line="240" w:lineRule="auto"/>
              <w:jc w:val="right"/>
            </w:pPr>
            <w:r w:rsidRPr="00646724">
              <w:t>200</w:t>
            </w:r>
          </w:p>
        </w:tc>
        <w:tc>
          <w:tcPr>
            <w:tcW w:w="2078" w:type="dxa"/>
          </w:tcPr>
          <w:p w:rsidR="002458A6" w:rsidRPr="00646724" w:rsidRDefault="002458A6" w:rsidP="00646724">
            <w:pPr>
              <w:spacing w:after="0" w:line="240" w:lineRule="auto"/>
              <w:jc w:val="right"/>
            </w:pPr>
            <w:r w:rsidRPr="00646724">
              <w:t>200</w:t>
            </w:r>
          </w:p>
        </w:tc>
      </w:tr>
      <w:tr w:rsidR="002458A6" w:rsidRPr="00646724" w:rsidTr="00646724">
        <w:tc>
          <w:tcPr>
            <w:tcW w:w="2782" w:type="dxa"/>
          </w:tcPr>
          <w:p w:rsidR="002458A6" w:rsidRPr="00646724" w:rsidRDefault="002458A6" w:rsidP="00646724">
            <w:pPr>
              <w:spacing w:after="0" w:line="240" w:lineRule="auto"/>
              <w:jc w:val="both"/>
            </w:pPr>
            <w:r w:rsidRPr="00646724">
              <w:t>Out of Pocket Expenses</w:t>
            </w:r>
          </w:p>
        </w:tc>
        <w:tc>
          <w:tcPr>
            <w:tcW w:w="2078" w:type="dxa"/>
          </w:tcPr>
          <w:p w:rsidR="002458A6" w:rsidRPr="00646724" w:rsidRDefault="002458A6" w:rsidP="00646724">
            <w:pPr>
              <w:spacing w:after="0" w:line="240" w:lineRule="auto"/>
              <w:jc w:val="right"/>
            </w:pPr>
            <w:r w:rsidRPr="00646724">
              <w:t>90</w:t>
            </w:r>
          </w:p>
        </w:tc>
        <w:tc>
          <w:tcPr>
            <w:tcW w:w="2078" w:type="dxa"/>
          </w:tcPr>
          <w:p w:rsidR="002458A6" w:rsidRPr="00646724" w:rsidRDefault="002458A6" w:rsidP="00646724">
            <w:pPr>
              <w:spacing w:after="0" w:line="240" w:lineRule="auto"/>
              <w:jc w:val="right"/>
            </w:pPr>
            <w:r w:rsidRPr="00646724">
              <w:t>90</w:t>
            </w:r>
          </w:p>
        </w:tc>
        <w:tc>
          <w:tcPr>
            <w:tcW w:w="2078" w:type="dxa"/>
          </w:tcPr>
          <w:p w:rsidR="002458A6" w:rsidRPr="00646724" w:rsidRDefault="002458A6" w:rsidP="00646724">
            <w:pPr>
              <w:spacing w:after="0" w:line="240" w:lineRule="auto"/>
              <w:jc w:val="right"/>
            </w:pPr>
            <w:r w:rsidRPr="00646724">
              <w:t>90</w:t>
            </w:r>
          </w:p>
        </w:tc>
      </w:tr>
      <w:tr w:rsidR="002458A6" w:rsidRPr="00646724" w:rsidTr="00646724">
        <w:tc>
          <w:tcPr>
            <w:tcW w:w="2782" w:type="dxa"/>
          </w:tcPr>
          <w:p w:rsidR="002458A6" w:rsidRPr="00646724" w:rsidRDefault="002458A6" w:rsidP="00646724">
            <w:pPr>
              <w:spacing w:after="0" w:line="240" w:lineRule="auto"/>
              <w:jc w:val="both"/>
            </w:pPr>
          </w:p>
        </w:tc>
        <w:tc>
          <w:tcPr>
            <w:tcW w:w="2078" w:type="dxa"/>
          </w:tcPr>
          <w:p w:rsidR="002458A6" w:rsidRPr="00646724" w:rsidRDefault="002458A6" w:rsidP="00646724">
            <w:pPr>
              <w:spacing w:after="0" w:line="240" w:lineRule="auto"/>
              <w:jc w:val="right"/>
            </w:pPr>
          </w:p>
        </w:tc>
        <w:tc>
          <w:tcPr>
            <w:tcW w:w="2078" w:type="dxa"/>
          </w:tcPr>
          <w:p w:rsidR="002458A6" w:rsidRPr="00646724" w:rsidRDefault="002458A6" w:rsidP="00646724">
            <w:pPr>
              <w:spacing w:after="0" w:line="240" w:lineRule="auto"/>
              <w:jc w:val="right"/>
            </w:pPr>
          </w:p>
        </w:tc>
        <w:tc>
          <w:tcPr>
            <w:tcW w:w="2078" w:type="dxa"/>
          </w:tcPr>
          <w:p w:rsidR="002458A6" w:rsidRPr="00646724" w:rsidRDefault="002458A6" w:rsidP="00646724">
            <w:pPr>
              <w:spacing w:after="0" w:line="240" w:lineRule="auto"/>
              <w:jc w:val="right"/>
            </w:pPr>
          </w:p>
        </w:tc>
      </w:tr>
      <w:tr w:rsidR="002458A6" w:rsidRPr="00646724" w:rsidTr="00646724">
        <w:tc>
          <w:tcPr>
            <w:tcW w:w="2782" w:type="dxa"/>
          </w:tcPr>
          <w:p w:rsidR="002458A6" w:rsidRPr="00646724" w:rsidRDefault="002458A6" w:rsidP="00646724">
            <w:pPr>
              <w:spacing w:after="0" w:line="240" w:lineRule="auto"/>
              <w:jc w:val="right"/>
            </w:pPr>
            <w:r w:rsidRPr="00646724">
              <w:t>TOTAL</w:t>
            </w:r>
          </w:p>
        </w:tc>
        <w:tc>
          <w:tcPr>
            <w:tcW w:w="2078" w:type="dxa"/>
          </w:tcPr>
          <w:p w:rsidR="002458A6" w:rsidRPr="00646724" w:rsidRDefault="002458A6" w:rsidP="00646724">
            <w:pPr>
              <w:spacing w:after="0" w:line="240" w:lineRule="auto"/>
              <w:jc w:val="right"/>
              <w:rPr>
                <w:color w:val="FF0000"/>
              </w:rPr>
            </w:pPr>
            <w:r w:rsidRPr="00646724">
              <w:rPr>
                <w:color w:val="FF0000"/>
              </w:rPr>
              <w:t>400</w:t>
            </w:r>
          </w:p>
        </w:tc>
        <w:tc>
          <w:tcPr>
            <w:tcW w:w="2078" w:type="dxa"/>
          </w:tcPr>
          <w:p w:rsidR="002458A6" w:rsidRPr="00646724" w:rsidRDefault="002458A6" w:rsidP="00646724">
            <w:pPr>
              <w:spacing w:after="0" w:line="240" w:lineRule="auto"/>
              <w:jc w:val="right"/>
              <w:rPr>
                <w:color w:val="FF0000"/>
              </w:rPr>
            </w:pPr>
            <w:r w:rsidRPr="00646724">
              <w:rPr>
                <w:color w:val="FF0000"/>
              </w:rPr>
              <w:t>498</w:t>
            </w:r>
          </w:p>
        </w:tc>
        <w:tc>
          <w:tcPr>
            <w:tcW w:w="2078" w:type="dxa"/>
          </w:tcPr>
          <w:p w:rsidR="002458A6" w:rsidRPr="00646724" w:rsidRDefault="002458A6" w:rsidP="00646724">
            <w:pPr>
              <w:spacing w:after="0" w:line="240" w:lineRule="auto"/>
              <w:jc w:val="right"/>
              <w:rPr>
                <w:color w:val="FF0000"/>
              </w:rPr>
            </w:pPr>
            <w:r w:rsidRPr="00646724">
              <w:rPr>
                <w:color w:val="FF0000"/>
              </w:rPr>
              <w:t>405</w:t>
            </w:r>
          </w:p>
        </w:tc>
      </w:tr>
    </w:tbl>
    <w:p w:rsidR="002458A6" w:rsidRDefault="002458A6" w:rsidP="00F433E4">
      <w:pPr>
        <w:jc w:val="both"/>
      </w:pPr>
    </w:p>
    <w:p w:rsidR="002458A6" w:rsidRDefault="002458A6" w:rsidP="00F433E4">
      <w:pPr>
        <w:jc w:val="both"/>
        <w:rPr>
          <w:b/>
        </w:rPr>
      </w:pPr>
      <w:r w:rsidRPr="00222420">
        <w:rPr>
          <w:b/>
        </w:rPr>
        <w:t>4.0</w:t>
      </w:r>
      <w:r>
        <w:rPr>
          <w:b/>
        </w:rPr>
        <w:tab/>
        <w:t>Agenda for ‘Board on the Road’</w:t>
      </w:r>
    </w:p>
    <w:p w:rsidR="002458A6" w:rsidRDefault="002458A6" w:rsidP="00F433E4">
      <w:pPr>
        <w:jc w:val="both"/>
      </w:pPr>
      <w:r w:rsidRPr="00222420">
        <w:t>4.1.</w:t>
      </w:r>
      <w:r>
        <w:tab/>
        <w:t>It is proposed that the agenda has the regular standing items plus an active section aimed at gathering the views of the public.   A speaker would not normally be scheduled unless a specific topic or issue has been highlighted</w:t>
      </w:r>
    </w:p>
    <w:p w:rsidR="002458A6" w:rsidRDefault="002458A6" w:rsidP="00F433E4">
      <w:pPr>
        <w:jc w:val="both"/>
        <w:rPr>
          <w:b/>
        </w:rPr>
      </w:pPr>
      <w:r w:rsidRPr="00222420">
        <w:rPr>
          <w:b/>
        </w:rPr>
        <w:t>5.0</w:t>
      </w:r>
      <w:r>
        <w:rPr>
          <w:b/>
        </w:rPr>
        <w:tab/>
        <w:t>‘At the Library’</w:t>
      </w:r>
    </w:p>
    <w:p w:rsidR="002458A6" w:rsidRDefault="002458A6" w:rsidP="00F433E4">
      <w:pPr>
        <w:jc w:val="both"/>
      </w:pPr>
      <w:r w:rsidRPr="00222420">
        <w:t>5.1</w:t>
      </w:r>
      <w:r>
        <w:tab/>
        <w:t>These events are more along the lines of an information stand with the aim of raising our profile whilst also taking the opportunity to gather views and pick up on local issues</w:t>
      </w:r>
    </w:p>
    <w:p w:rsidR="002458A6" w:rsidRDefault="002458A6" w:rsidP="00F433E4">
      <w:pPr>
        <w:jc w:val="both"/>
        <w:rPr>
          <w:b/>
        </w:rPr>
      </w:pPr>
      <w:r w:rsidRPr="00222420">
        <w:rPr>
          <w:b/>
        </w:rPr>
        <w:t>6.0</w:t>
      </w:r>
      <w:r>
        <w:rPr>
          <w:b/>
        </w:rPr>
        <w:tab/>
        <w:t>Literature</w:t>
      </w:r>
    </w:p>
    <w:p w:rsidR="002458A6" w:rsidRPr="00222420" w:rsidRDefault="002458A6" w:rsidP="00F433E4">
      <w:pPr>
        <w:jc w:val="both"/>
      </w:pPr>
      <w:r w:rsidRPr="00222420">
        <w:t>6.1</w:t>
      </w:r>
      <w:r>
        <w:tab/>
        <w:t>Jennifer Fenelon has drafted a ‘Welcome to the Board’ handout (appendix a) and there will also be the usual Healthwatch Rutland leaflets available, including the new signposting directory.  Posters to advertise each event are also in development.</w:t>
      </w:r>
      <w:bookmarkStart w:id="0" w:name="_GoBack"/>
      <w:bookmarkEnd w:id="0"/>
    </w:p>
    <w:sectPr w:rsidR="002458A6" w:rsidRPr="00222420" w:rsidSect="00344D83">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8A6" w:rsidRDefault="002458A6" w:rsidP="004B2260">
      <w:pPr>
        <w:spacing w:after="0" w:line="240" w:lineRule="auto"/>
      </w:pPr>
      <w:r>
        <w:separator/>
      </w:r>
    </w:p>
  </w:endnote>
  <w:endnote w:type="continuationSeparator" w:id="0">
    <w:p w:rsidR="002458A6" w:rsidRDefault="002458A6" w:rsidP="004B2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A6" w:rsidRDefault="002458A6">
    <w:pPr>
      <w:pStyle w:val="Footer"/>
      <w:jc w:val="right"/>
    </w:pPr>
    <w:fldSimple w:instr=" PAGE   \* MERGEFORMAT ">
      <w:r>
        <w:rPr>
          <w:noProof/>
        </w:rPr>
        <w:t>1</w:t>
      </w:r>
    </w:fldSimple>
  </w:p>
  <w:p w:rsidR="002458A6" w:rsidRDefault="00245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8A6" w:rsidRDefault="002458A6" w:rsidP="004B2260">
      <w:pPr>
        <w:spacing w:after="0" w:line="240" w:lineRule="auto"/>
      </w:pPr>
      <w:r>
        <w:separator/>
      </w:r>
    </w:p>
  </w:footnote>
  <w:footnote w:type="continuationSeparator" w:id="0">
    <w:p w:rsidR="002458A6" w:rsidRDefault="002458A6" w:rsidP="004B22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1" o:title=""/>
      </v:shape>
    </w:pict>
  </w:numPicBullet>
  <w:abstractNum w:abstractNumId="0">
    <w:nsid w:val="099963A8"/>
    <w:multiLevelType w:val="multilevel"/>
    <w:tmpl w:val="C5DC0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3E4"/>
    <w:rsid w:val="001835EA"/>
    <w:rsid w:val="00222420"/>
    <w:rsid w:val="0024246B"/>
    <w:rsid w:val="002458A6"/>
    <w:rsid w:val="00344D83"/>
    <w:rsid w:val="00390BF9"/>
    <w:rsid w:val="0043425E"/>
    <w:rsid w:val="004B2260"/>
    <w:rsid w:val="00507A5D"/>
    <w:rsid w:val="00646724"/>
    <w:rsid w:val="00682530"/>
    <w:rsid w:val="00971E6D"/>
    <w:rsid w:val="0099066E"/>
    <w:rsid w:val="00A620E4"/>
    <w:rsid w:val="00B74344"/>
    <w:rsid w:val="00C55A7F"/>
    <w:rsid w:val="00C73F1A"/>
    <w:rsid w:val="00CB1513"/>
    <w:rsid w:val="00D401C4"/>
    <w:rsid w:val="00E3752C"/>
    <w:rsid w:val="00EF56BA"/>
    <w:rsid w:val="00F433E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D8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71E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B226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B2260"/>
    <w:rPr>
      <w:rFonts w:cs="Times New Roman"/>
    </w:rPr>
  </w:style>
  <w:style w:type="paragraph" w:styleId="Footer">
    <w:name w:val="footer"/>
    <w:basedOn w:val="Normal"/>
    <w:link w:val="FooterChar"/>
    <w:uiPriority w:val="99"/>
    <w:rsid w:val="004B226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B2260"/>
    <w:rPr>
      <w:rFonts w:cs="Times New Roman"/>
    </w:rPr>
  </w:style>
  <w:style w:type="paragraph" w:styleId="BalloonText">
    <w:name w:val="Balloon Text"/>
    <w:basedOn w:val="Normal"/>
    <w:link w:val="BalloonTextChar"/>
    <w:uiPriority w:val="99"/>
    <w:semiHidden/>
    <w:rsid w:val="00434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42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9943005">
      <w:marLeft w:val="1500"/>
      <w:marRight w:val="0"/>
      <w:marTop w:val="0"/>
      <w:marBottom w:val="0"/>
      <w:divBdr>
        <w:top w:val="none" w:sz="0" w:space="0" w:color="auto"/>
        <w:left w:val="none" w:sz="0" w:space="0" w:color="auto"/>
        <w:bottom w:val="none" w:sz="0" w:space="0" w:color="auto"/>
        <w:right w:val="none" w:sz="0" w:space="0" w:color="auto"/>
      </w:divBdr>
      <w:divsChild>
        <w:div w:id="39943006">
          <w:marLeft w:val="0"/>
          <w:marRight w:val="0"/>
          <w:marTop w:val="150"/>
          <w:marBottom w:val="0"/>
          <w:divBdr>
            <w:top w:val="none" w:sz="0" w:space="0" w:color="auto"/>
            <w:left w:val="none" w:sz="0" w:space="0" w:color="auto"/>
            <w:bottom w:val="none" w:sz="0" w:space="0" w:color="auto"/>
            <w:right w:val="none" w:sz="0" w:space="0" w:color="auto"/>
          </w:divBdr>
          <w:divsChild>
            <w:div w:id="39943002">
              <w:marLeft w:val="0"/>
              <w:marRight w:val="0"/>
              <w:marTop w:val="0"/>
              <w:marBottom w:val="0"/>
              <w:divBdr>
                <w:top w:val="none" w:sz="0" w:space="0" w:color="auto"/>
                <w:left w:val="none" w:sz="0" w:space="0" w:color="auto"/>
                <w:bottom w:val="none" w:sz="0" w:space="0" w:color="auto"/>
                <w:right w:val="none" w:sz="0" w:space="0" w:color="auto"/>
              </w:divBdr>
              <w:divsChild>
                <w:div w:id="39943003">
                  <w:marLeft w:val="0"/>
                  <w:marRight w:val="-5700"/>
                  <w:marTop w:val="0"/>
                  <w:marBottom w:val="0"/>
                  <w:divBdr>
                    <w:top w:val="none" w:sz="0" w:space="0" w:color="auto"/>
                    <w:left w:val="none" w:sz="0" w:space="0" w:color="auto"/>
                    <w:bottom w:val="none" w:sz="0" w:space="0" w:color="auto"/>
                    <w:right w:val="none" w:sz="0" w:space="0" w:color="auto"/>
                  </w:divBdr>
                  <w:divsChild>
                    <w:div w:id="39943004">
                      <w:marLeft w:val="300"/>
                      <w:marRight w:val="6000"/>
                      <w:marTop w:val="150"/>
                      <w:marBottom w:val="0"/>
                      <w:divBdr>
                        <w:top w:val="none" w:sz="0" w:space="0" w:color="auto"/>
                        <w:left w:val="none" w:sz="0" w:space="0" w:color="auto"/>
                        <w:bottom w:val="none" w:sz="0" w:space="0" w:color="auto"/>
                        <w:right w:val="none" w:sz="0" w:space="0" w:color="auto"/>
                      </w:divBdr>
                      <w:divsChild>
                        <w:div w:id="39943001">
                          <w:marLeft w:val="0"/>
                          <w:marRight w:val="0"/>
                          <w:marTop w:val="0"/>
                          <w:marBottom w:val="0"/>
                          <w:divBdr>
                            <w:top w:val="none" w:sz="0" w:space="0" w:color="auto"/>
                            <w:left w:val="none" w:sz="0" w:space="0" w:color="auto"/>
                            <w:bottom w:val="none" w:sz="0" w:space="0" w:color="auto"/>
                            <w:right w:val="none" w:sz="0" w:space="0" w:color="auto"/>
                          </w:divBdr>
                          <w:divsChild>
                            <w:div w:id="39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527</Words>
  <Characters>3004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 Burrow-Smith</dc:creator>
  <cp:keywords/>
  <dc:description/>
  <cp:lastModifiedBy>Jennifer</cp:lastModifiedBy>
  <cp:revision>2</cp:revision>
  <cp:lastPrinted>2015-05-07T21:52:00Z</cp:lastPrinted>
  <dcterms:created xsi:type="dcterms:W3CDTF">2015-05-07T21:54:00Z</dcterms:created>
  <dcterms:modified xsi:type="dcterms:W3CDTF">2015-05-07T21:54:00Z</dcterms:modified>
</cp:coreProperties>
</file>